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OBJEDNÁVKA</w:t>
      </w:r>
    </w:p>
    <w:p>
      <w:r>
        <w:rPr>
          <w:color w:val="5D6B77"/>
        </w:rPr>
        <w:t>prací a dodávek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objednávky: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 nabídce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DODAVATEL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Předmět objednávky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plnění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plnění</w:t>
            </w:r>
          </w:p>
        </w:tc>
        <w:tc>
          <w:tcPr>
            <w:tcW w:type="dxa" w:w="6939"/>
          </w:tcPr>
          <w:p/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122"/>
        <w:gridCol w:w="1428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Položka (práce / materiál)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Množství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(Kč)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(Kč)</w:t>
            </w:r>
          </w:p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bez DPH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21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s DPH</w:t>
            </w:r>
          </w:p>
        </w:tc>
        <w:tc>
          <w:tcPr>
            <w:tcW w:type="dxa" w:w="1531"/>
          </w:tcPr>
          <w:p/>
        </w:tc>
      </w:tr>
    </w:tbl>
    <w:p>
      <w:r>
        <w:rPr>
          <w:color w:val="5D6B77"/>
          <w:sz w:val="15"/>
        </w:rPr>
        <w:t>U stavebních prací mezi plátci DPH se uplatní přenesená daňová povinnost - tehdy nastavte DPH na 0.</w:t>
      </w:r>
    </w:p>
    <w:p>
      <w:pPr>
        <w:spacing w:before="160" w:after="60"/>
      </w:pPr>
      <w:r>
        <w:rPr>
          <w:b/>
          <w:color w:val="1B2732"/>
          <w:sz w:val="20"/>
        </w:rPr>
        <w:t>PODMÍNKY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Platební podmínky / 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Fakturační adresa a e-mail pro faktury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Kontaktní osoba na místě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Objednal (jméno, funkce,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Objednávku přijal dodavatel (jméno, datum,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